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B5" w:rsidRDefault="000212B5" w:rsidP="000212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0212B5" w:rsidRPr="000212B5" w:rsidRDefault="000212B5" w:rsidP="000212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21 </w:t>
      </w:r>
      <w:r w:rsidRPr="000212B5">
        <w:rPr>
          <w:rFonts w:ascii="Cambria" w:hAnsi="Cambria" w:cs="Cambria"/>
          <w:color w:val="000000"/>
          <w:sz w:val="28"/>
          <w:szCs w:val="28"/>
          <w:highlight w:val="white"/>
        </w:rPr>
        <w:t>«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Мозаика</w:t>
      </w:r>
      <w:r w:rsidRPr="000212B5">
        <w:rPr>
          <w:rFonts w:ascii="Cambria" w:hAnsi="Cambria" w:cs="Cambria"/>
          <w:color w:val="000000"/>
          <w:sz w:val="28"/>
          <w:szCs w:val="28"/>
          <w:highlight w:val="white"/>
        </w:rPr>
        <w:t>»</w:t>
      </w:r>
    </w:p>
    <w:p w:rsidR="000212B5" w:rsidRPr="000212B5" w:rsidRDefault="000212B5" w:rsidP="000212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12B5" w:rsidRDefault="000212B5" w:rsidP="000212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Информационная карта проекта</w:t>
      </w:r>
    </w:p>
    <w:p w:rsidR="000212B5" w:rsidRDefault="000212B5" w:rsidP="000212B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tbl>
      <w:tblPr>
        <w:tblW w:w="0" w:type="auto"/>
        <w:tblInd w:w="-217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6"/>
        <w:gridCol w:w="1267"/>
        <w:gridCol w:w="1250"/>
        <w:gridCol w:w="1141"/>
        <w:gridCol w:w="699"/>
        <w:gridCol w:w="618"/>
        <w:gridCol w:w="2829"/>
        <w:gridCol w:w="2001"/>
      </w:tblGrid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Путешествие по сказкам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Звёздочки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  4-6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лет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/>
              </w:rPr>
              <w:t>2024-2025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Кузнецова Светлана Леонидовна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Цель: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Создать условия для систематизации знаний и расширении представлений детей о сказках.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Задачи: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Пробуждать интерес к сказкам.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авторских и народных сказках (автор народных сказок неизвестен, у аторских есть автор).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известными авторами сказок (А.С.Пушкин, К.И.Чуковский, В.Сутеев, Ш.Перро, братья Гримм, Г.Х.Андерсен).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пересказывать сказки.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активный и пассивный словарь детей, опираясь на тексты сказок.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Привлекать детей к совместной театрализованной деятельности.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 различных видах театра.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Поддерживать инициативу детей в организации сюжетно-ролевых игр по теме проекта.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развивать художественные и конструктивные навыки детей в соответствии с возрастом и программным содержанием через тематику проекта.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физическое и психическое здоровье детей через организацию двигательной активности детей в течение проекта (физкультминутки, динамические паузы, подвижные игры и т.д.) 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речь через пересказ и обсуждение прочитанных сказок.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Воспитывать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любовь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к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литературномуслову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бережное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отношение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к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книгам</w:t>
            </w:r>
          </w:p>
          <w:p w:rsidR="000212B5" w:rsidRP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212B5"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Воспитывать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у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детей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уважение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к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самому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себе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и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другим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  <w:highlight w:val="white"/>
              </w:rPr>
              <w:t>детям</w:t>
            </w:r>
            <w:r>
              <w:rPr>
                <w:rFonts w:ascii="'Times New Roman', serif" w:hAnsi="'Times New Roman', serif" w:cs="'Times New Roman', serif"/>
                <w:color w:val="000000"/>
                <w:sz w:val="28"/>
                <w:szCs w:val="28"/>
                <w:highlight w:val="white"/>
              </w:rPr>
              <w:t>.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Аннотация: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 продолжительности: среднесрочный (13недель)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Вид: групповой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Тип (по доминирующему методу): познавательно-творческий.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Образовательные области: речевое развитие, познавательное развитие, социально-коммуникативное развитие, физическое развитие, художественно-эстетическое развитие</w:t>
            </w:r>
          </w:p>
          <w:p w:rsidR="000212B5" w:rsidRP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Игра-квест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Путешествие по сказкам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P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Актуальность.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Группа в которой планировалась реализация данного проекта является логопедической, ее посещают дети у которых выявлены нарушения речи. А что как не знакомство с лучшими образцами устного народного творчества и авторских сказок совершенствует ум ребёнка, помогает овладеть речью, познавать окружающий мир. Сказки расширяют словарный запас дошкольников, помогают правильно строить диалог, развивать связную логическую речь. Поэтому данный проект актуально было реализовать в начале учебного года.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Предполагаемые результаты: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Дети интересуются сказками, им нравится их слушать. Дети знают что такое народные и авторские сказки, умеют их отличать. Дети могут назвать несколько фамилий известных авторов сказок. Дети умеют пересказывать сказки. Дети знают и используют в активном словаре новые слова. Они принимают участие в совместной театрализованной деятельности. Имеют представление о различных видах театров. Дети самостоятельно организуют сюжетно-ролевые игры в тематике проекта. Дети отражают полученные впечатления в рисунках и творческих работах. Дети используют сказочные слова и выражения в своей речи. Им нравиться рассматривать книги, они бережно к ним относятся.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Повысился уровень педагогической компетентности и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Появились новые альбомы дидактические игры: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Расскажи сказку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Найди тень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лишнее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Добрые и злые сказочные герои, Сказочное лото, пазлы,лэпбук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Русские народные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шапочки для сказки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Репка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настольный театр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Теремок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Рассказывают о школе родителями друг другу,  рассматривают иллюстрации, фотоматериалы, организуют разнообразные игровые сюжеты.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Пользуются игровым материалом, изготовленным в ходе реализации проекта. Показывают изученные сказки с помощью различных видов театра.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Самостоятельно организуют двигательную активность согласно выбранному сюжету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Выполняют различные изображения, основанные на сказочных сюжетах,в различных техниках.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Вид деятельности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Участники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этап - Подготовительный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Проблемная ситуация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Сюрпризный момент. Дети получают письмо от Василисы Премудрой. Она пишет о том, что Баба Яга украла из Книги сказок страницу , разорвала её и спрятала в группе. Василиса просит найти и собрать страницу, но для этого надо выполнить сказочные задания Бабы Яги к которым надо подготовиться.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2 </w:t>
            </w:r>
            <w:r>
              <w:rPr>
                <w:rFonts w:ascii="Cambria" w:hAnsi="Cambria" w:cs="Cambria"/>
                <w:sz w:val="28"/>
                <w:szCs w:val="28"/>
              </w:rPr>
              <w:t>этап – Проектировочный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1-2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0212B5">
              <w:rPr>
                <w:rFonts w:ascii="Cambria" w:hAnsi="Cambria" w:cs="Cambria"/>
                <w:sz w:val="28"/>
                <w:szCs w:val="28"/>
              </w:rPr>
              <w:t>1.</w:t>
            </w:r>
            <w:r>
              <w:rPr>
                <w:rFonts w:ascii="Cambria" w:hAnsi="Cambria" w:cs="Cambria"/>
                <w:sz w:val="28"/>
                <w:szCs w:val="28"/>
              </w:rPr>
              <w:t>Разработка плана мероприятий по теме проекта.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знаем о сказках?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хотим узнать?</w:t>
            </w:r>
          </w:p>
          <w:p w:rsidR="000212B5" w:rsidRDefault="000212B5" w:rsidP="00021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Как нам найти ответы на наши вопросы?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0212B5">
              <w:rPr>
                <w:rFonts w:ascii="Cambria" w:hAnsi="Cambria" w:cs="Cambria"/>
                <w:sz w:val="28"/>
                <w:szCs w:val="28"/>
              </w:rPr>
              <w:t>2.</w:t>
            </w:r>
            <w:r>
              <w:rPr>
                <w:rFonts w:ascii="Cambria" w:hAnsi="Cambria" w:cs="Cambria"/>
                <w:sz w:val="28"/>
                <w:szCs w:val="28"/>
              </w:rPr>
              <w:t>Составление плана мероприятий по организации детской деятельности, деятельности родителей.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Сказка в жизни ребёнка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Какие сказки читать на ночь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Как превратить чтение в удовольствие</w:t>
            </w:r>
            <w:r w:rsidRPr="000212B5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памятка для родителей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Чтение вслух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речевых, логических, дидактических игр, атрибутов сюжетно-ролевых игр.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3 </w:t>
            </w:r>
            <w:r>
              <w:rPr>
                <w:rFonts w:ascii="Cambria" w:hAnsi="Cambria" w:cs="Cambria"/>
                <w:sz w:val="28"/>
                <w:szCs w:val="28"/>
              </w:rPr>
              <w:t>этап - Практический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недель</w:t>
            </w:r>
          </w:p>
        </w:tc>
        <w:tc>
          <w:tcPr>
            <w:tcW w:w="9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Путешествие по сказкам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Настольно-печатные игры: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Расколдуй сказку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Знаешь ли ты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Сказочное лото,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Кто где живёт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Назови героев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Разрезные картинки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Узнай сказку по нарисованному предмету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Найди пару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Сказочные пазлы, .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181818"/>
                <w:sz w:val="28"/>
                <w:szCs w:val="28"/>
              </w:rPr>
            </w:pP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Дидактические игры: 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Кто за кем?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Чудесный мешочек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Что изменилось?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Расскажи по картинке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Найди по силуэту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Покажи одинаковое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Раскрась по описанию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Кто самый наблюдательный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Разведчик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Собери из частей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Шляпа фокусника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Для чего нужен предмет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Я назову, а вы продолжите</w:t>
            </w:r>
            <w:r w:rsidRPr="000212B5">
              <w:rPr>
                <w:rFonts w:ascii="Cambria" w:hAnsi="Cambria" w:cs="Cambria"/>
                <w:color w:val="181818"/>
                <w:sz w:val="28"/>
                <w:szCs w:val="28"/>
              </w:rPr>
              <w:t>»,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Словесные игры 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Вершки и корешки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Четвёртый лишний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Узнай героя сказки по описанию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Назови героев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Назови сказку по главному герою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Расскажи сказку по иллюстрации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Путаница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Отгадай загадку,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Волшебные слова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Сюжетно-ролевая игра с элементами театрализации по сказке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Колобок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сюжетно-ролевая игра по сказке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Золушка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сюжетно-ролевая игра по мотивам сказки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Курочка Ряба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сюжетно-ролевая игра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Театр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 драматизацией сказки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Рукавичка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Познавательные беседы: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Сказки в гости к нам пришли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такое сказка?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Моя любимая сказка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Добрые и злые сказочные персонажи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Почему мы любим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Какие сказки вы любите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Сказочные герои — какие они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Кто сочиняет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Почему сказки называются волшебными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Чему нас учат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Такие разные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Рассматривание иллюстраций к сказкам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Викторина по русским народным сказкам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Проблемная ситуация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Если бы не было сказок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Интеллектуальная игра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Я знаю всё о сказках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Ситуативная беседа, почему нужно читать сказки?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Встреча с сотрудниками угличского музея на тему </w:t>
            </w:r>
            <w:r w:rsidRPr="000212B5">
              <w:rPr>
                <w:rFonts w:ascii="Cambria" w:hAnsi="Cambria" w:cs="Cambria"/>
                <w:sz w:val="28"/>
                <w:szCs w:val="28"/>
              </w:rPr>
              <w:lastRenderedPageBreak/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Чудеса из бабушкиного сундука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Русские народные сказки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Кот, петух и лиса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У страха глаза велики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Жихарка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Гуси-лебеди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Зимовье зверей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Бычок-смоляной бочок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Лиса и журавль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Сестрица Алёнушка и братец Иванушка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Летучий корабль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Иван царевич и серый волк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Царевна лягушка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А.С.Пушкин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Сказка о золотом петушке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Сказка о царе Салтане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Сказка о Золотой рыбке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сказки народов мира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Дикие лебеди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Бабушка вьюга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Умные головы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Хрустальный колодец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Г.Х.Андерсен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Гадкий утёнок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Русалочка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Дюймовочка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Снежная королева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братья Гримм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Белоснежка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Бременские музыканты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Шарль Перро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Красная шапочка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Кот в сапогах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Спящая красавица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Мальчик-с-пальчик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Золушка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К.Чуковский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Мойдодыр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Муха-Цокотуха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Айболит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Бармалей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В.Сутеев 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Яблоко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Дядя Миша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Ёлка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Кот-рыболов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Мешок яблок</w:t>
            </w:r>
            <w:r w:rsidRPr="000212B5">
              <w:rPr>
                <w:rFonts w:ascii="Cambria" w:hAnsi="Cambria" w:cs="Cambria"/>
                <w:color w:val="1A1A1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Закрепление КГН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Конструирование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Конструирование из строительного материала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Построим дом для курочки Рябы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Грядка для репки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Теремок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Мебель для трёх медведей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Домик для зайки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Сказочный домик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Волшебный город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дорожки для Колобка из строительного материала, </w:t>
            </w:r>
            <w:r w:rsidRPr="000212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Построим дом для Колобка</w:t>
            </w:r>
            <w:r w:rsidRPr="00021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Рисование 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Царевна-лебедь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Самая интересная сказка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Мой любимый сказочный герой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Сказка за сказкой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»;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аппликация 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Царевна лягушка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обрывная аппликация 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Репка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»;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лепка 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Сказочные приключения колобка, пластилинография 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Золотая рыбка</w:t>
            </w:r>
            <w:r w:rsidRPr="000212B5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Игра -эстафета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Сказочная дорожкапрепятствий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Физкультминутки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Репка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Колобок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Кот, петух и лиса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Теремок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Леший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Избушка на курьих ножках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Шол король по лесу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Мальчик-</w:t>
            </w:r>
            <w:r>
              <w:rPr>
                <w:rFonts w:ascii="Cambria" w:hAnsi="Cambria" w:cs="Cambria"/>
                <w:strike/>
                <w:color w:val="000000"/>
                <w:sz w:val="28"/>
                <w:szCs w:val="28"/>
              </w:rPr>
              <w:t>с-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пальчик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Подвижные игры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Гуси-лебеди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Хитрая лиса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Зайцы и медведь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Ванюша и лебеди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Работа с родителями</w:t>
            </w:r>
          </w:p>
        </w:tc>
        <w:tc>
          <w:tcPr>
            <w:tcW w:w="41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Консультации для родителей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Сказка в жизни ребёнка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Какие сказки читать на ночь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Как превратить чтение в удовольствие</w:t>
            </w:r>
            <w:r w:rsidRPr="000212B5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памятка для родителей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Чтение вслух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Конкурс детско-родительского творчества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Сказочная книга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Выставка совместного творчества детей и родителей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Моя любимая сказка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Помощь в оформлении книжного уголка и мини-музея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Любимые сказки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родители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 xml:space="preserve">4 </w:t>
            </w:r>
            <w:r>
              <w:rPr>
                <w:rFonts w:ascii="Cambria" w:hAnsi="Cambria" w:cs="Cambria"/>
                <w:sz w:val="28"/>
                <w:szCs w:val="28"/>
              </w:rPr>
              <w:t>этап - Заключительный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  <w:lang/>
              </w:rPr>
              <w:t>13</w:t>
            </w:r>
            <w:r>
              <w:rPr>
                <w:rFonts w:ascii="Cambria" w:hAnsi="Cambria" w:cs="Cambria"/>
                <w:sz w:val="28"/>
                <w:szCs w:val="28"/>
              </w:rPr>
              <w:t>недель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Игра-квест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Путешествие по сказкам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дети, родители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6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Расширился активный словарь детей, дети стали более общительнее со взрослыми.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12B5" w:rsidRPr="000212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Методические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продукты:</w:t>
            </w:r>
          </w:p>
          <w:p w:rsidR="000212B5" w:rsidRDefault="0002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53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 xml:space="preserve">Консультация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Сказка в жизни ребёнка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 xml:space="preserve">Консультация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Какие сказки читать на ночь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превратить чтение в удовольствие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Памятка для родителей 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Чтение вслух</w:t>
            </w:r>
            <w:r w:rsidRPr="000212B5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0212B5" w:rsidRPr="000212B5" w:rsidRDefault="000212B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Конспект игры 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Путешествие по сказкам</w:t>
            </w:r>
            <w:r w:rsidRPr="000212B5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</w:tbl>
    <w:p w:rsidR="000212B5" w:rsidRPr="000212B5" w:rsidRDefault="000212B5" w:rsidP="0002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212B5" w:rsidRDefault="000212B5" w:rsidP="0002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0212B5" w:rsidRDefault="000212B5" w:rsidP="0002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0702B" w:rsidRDefault="00C0702B"/>
    <w:sectPr w:rsidR="00C0702B" w:rsidSect="000A16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BCDC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212B5"/>
    <w:rsid w:val="000212B5"/>
    <w:rsid w:val="00C0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2024-12-26T19:56:00Z</dcterms:created>
  <dcterms:modified xsi:type="dcterms:W3CDTF">2024-12-26T19:57:00Z</dcterms:modified>
</cp:coreProperties>
</file>